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C3D" w:rsidRDefault="00BB7C3D" w:rsidP="00BB7C3D">
      <w:pPr>
        <w:spacing w:after="0" w:line="240" w:lineRule="auto"/>
        <w:jc w:val="right"/>
        <w:outlineLvl w:val="2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bg-BG"/>
        </w:rPr>
      </w:pPr>
    </w:p>
    <w:p w:rsidR="00723E00" w:rsidRPr="0053494A" w:rsidRDefault="00723E00" w:rsidP="00BB7C3D">
      <w:pPr>
        <w:spacing w:after="0" w:line="240" w:lineRule="auto"/>
        <w:jc w:val="right"/>
        <w:outlineLvl w:val="2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bg-BG"/>
        </w:rPr>
      </w:pPr>
      <w:r w:rsidRPr="0053494A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bg-BG"/>
        </w:rPr>
        <w:t>Приложение 1</w:t>
      </w:r>
      <w:r w:rsidR="00DB64CB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val="en-US" w:eastAsia="bg-BG"/>
        </w:rPr>
        <w:t>7</w:t>
      </w:r>
    </w:p>
    <w:p w:rsidR="00BB7C3D" w:rsidRDefault="00BB7C3D" w:rsidP="00BB7C3D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</w:p>
    <w:p w:rsidR="00723E00" w:rsidRPr="0053494A" w:rsidRDefault="00723E00" w:rsidP="00BB7C3D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  <w:r w:rsidRPr="005349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ПРИЛОЖЕНИЕ I КЪМ</w:t>
      </w:r>
      <w:r w:rsidRPr="0053494A">
        <w:rPr>
          <w:rFonts w:ascii="Times New Roman" w:hAnsi="Times New Roman"/>
          <w:b/>
          <w:sz w:val="24"/>
          <w:szCs w:val="24"/>
        </w:rPr>
        <w:t xml:space="preserve">  </w:t>
      </w:r>
      <w:r w:rsidRPr="005349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ДИРЕКТИВА 2003/87/ЕО НА ЕВРОПЕЙСКИЯ ПАРЛАМЕНТ И НА СЪВЕТА</w:t>
      </w:r>
    </w:p>
    <w:p w:rsidR="00BB7C3D" w:rsidRDefault="00BB7C3D" w:rsidP="00BB7C3D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</w:p>
    <w:p w:rsidR="00723E00" w:rsidRDefault="00723E00" w:rsidP="00BB7C3D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  <w:r w:rsidRPr="005349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от 13 октомври 2003 година</w:t>
      </w:r>
    </w:p>
    <w:p w:rsidR="00BB7C3D" w:rsidRPr="0053494A" w:rsidRDefault="00BB7C3D" w:rsidP="00BB7C3D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</w:p>
    <w:p w:rsidR="00723E00" w:rsidRDefault="00723E00" w:rsidP="00BB7C3D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  <w:r w:rsidRPr="005349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за установяване на схема за търговия с квоти за емисии на парникови газове в рамките на </w:t>
      </w:r>
      <w:r w:rsidR="00535F74" w:rsidRPr="00C1106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Съ</w:t>
      </w:r>
      <w:r w:rsidR="00535F7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юза</w:t>
      </w:r>
      <w:r w:rsidRPr="005349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 и за изменение на Директива 96/61/ЕО на Съвета</w:t>
      </w:r>
    </w:p>
    <w:p w:rsidR="00BB7C3D" w:rsidRPr="0053494A" w:rsidRDefault="00BB7C3D" w:rsidP="00BB7C3D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</w:p>
    <w:p w:rsidR="00723E00" w:rsidRDefault="00723E00" w:rsidP="00BB7C3D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  <w:bookmarkStart w:id="0" w:name="to_paragraph_id5761870"/>
      <w:bookmarkEnd w:id="0"/>
      <w:r w:rsidRPr="0053494A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КАТЕГОРИИ ДЕЙНОСТИ, ЗА КОИТО СЕ ПРИЛАГА НАСТОЯЩАТА ДИРЕКТИВА</w:t>
      </w:r>
      <w:r w:rsidR="00BB7C3D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:</w:t>
      </w:r>
    </w:p>
    <w:p w:rsidR="00BB7C3D" w:rsidRPr="0053494A" w:rsidRDefault="00BB7C3D" w:rsidP="00BB7C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</w:p>
    <w:p w:rsidR="00723E00" w:rsidRPr="0053494A" w:rsidRDefault="00723E00" w:rsidP="00C1106C">
      <w:pPr>
        <w:spacing w:before="120" w:after="0" w:line="240" w:lineRule="auto"/>
        <w:ind w:firstLine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53494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1. </w:t>
      </w:r>
      <w:r w:rsidR="006B4006" w:rsidRPr="006B400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Настоящата директива не обхваща инсталациите или частите от инсталации, които се използват за изследване, разработване и изпитване на нови продукти и процеси. Настоящата директива не обхваща инсталациите, когато през съответния предходен петгодишен период, посочен в член 11, параграф 1, втора алинея, емисиите от изгарянето на биомаса, отговаряща на критериите, определени съгласно член 14, допринасят средно за повече от 95</w:t>
      </w:r>
      <w:r w:rsidR="00535F7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r w:rsidR="006B4006" w:rsidRPr="006B400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% от средната стойност на общите емисии на парникови газове.</w:t>
      </w:r>
    </w:p>
    <w:p w:rsidR="00723E00" w:rsidRPr="0053494A" w:rsidRDefault="00723E00" w:rsidP="00C1106C">
      <w:pPr>
        <w:spacing w:before="120" w:after="0" w:line="240" w:lineRule="auto"/>
        <w:ind w:firstLine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53494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2. Праговите стойности, посочени по-долу, обикновено се отнасят до производствени мощности или продукция. Когато няколко дейности, попадащи в една и съща категория, се извършват в една и съща инсталация, мощностите на тези дейности се сумират.</w:t>
      </w:r>
    </w:p>
    <w:p w:rsidR="00723E00" w:rsidRPr="0053494A" w:rsidRDefault="0067156B" w:rsidP="00C1106C">
      <w:pPr>
        <w:spacing w:before="120" w:after="0" w:line="240" w:lineRule="auto"/>
        <w:ind w:firstLine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3. </w:t>
      </w:r>
      <w:r w:rsidRPr="0067156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Когато се изчислява общата номинална топлинна мощност на дадена инсталация, за да се вземе решение дали тя да бъде включена в СТЕ на ЕС, се сумират номиналните топлинни мощности на всички технически съоръжения, които са част от нея и в които горивата се изгарят в рамките на инсталацията. Тези съоръжения може да включват всякакви видове котли, факелни тръби, турбини, нагреватели, топилни, инсинератори, пещи за калциниране, пещи за изпичане, пещи, сушилни, двигатели, горивни елементи, съоръ</w:t>
      </w:r>
      <w:bookmarkStart w:id="1" w:name="_GoBack"/>
      <w:bookmarkEnd w:id="1"/>
      <w:r w:rsidRPr="0067156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жения за циклично химическо изгаряне, запалителни устройства и термични или каталитични съоръжения за доизгаряне. Съоръжения с номинална топлинна мощност под 3 MW не се вземат предвид за целите на посоченото изчисление.</w:t>
      </w:r>
    </w:p>
    <w:p w:rsidR="00723E00" w:rsidRPr="0053494A" w:rsidRDefault="00723E00" w:rsidP="00C1106C">
      <w:pPr>
        <w:spacing w:before="120" w:after="0" w:line="240" w:lineRule="auto"/>
        <w:ind w:firstLine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53494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4. Ако дадено съоръжение служи за дейност, за която праговата стойност не е изразена като обща номинална топлинна мощност, праговата стойност на тази дейност има предимство при вземането на решение за включването в </w:t>
      </w:r>
      <w:r w:rsidR="00535F74" w:rsidRPr="00535F7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СТЕ на ЕС</w:t>
      </w:r>
      <w:r w:rsidRPr="0053494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</w:p>
    <w:p w:rsidR="00723E00" w:rsidRPr="0053494A" w:rsidRDefault="00723E00" w:rsidP="00C1106C">
      <w:pPr>
        <w:spacing w:before="120" w:after="0" w:line="240" w:lineRule="auto"/>
        <w:ind w:firstLine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53494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5. Когато се установи, че в дадена инсталация е превишена праговата стойност на мощността на която и да е дейност по настоящото приложение, всички съоръжения, в които се изгарят горива, различни от съоръженията за изгаряне на опасни или твърди битови отпадъци, се включват в разрешителното за емисии на парникови газове.</w:t>
      </w:r>
    </w:p>
    <w:p w:rsidR="00723E00" w:rsidRPr="0053494A" w:rsidRDefault="00723E00" w:rsidP="00C1106C">
      <w:pPr>
        <w:spacing w:before="120" w:after="0" w:line="240" w:lineRule="auto"/>
        <w:ind w:firstLine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53494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6. От 1 януари 2012 г. се включват всички полети, които пристигат на или заминават от летище, разположено на територията на държава-членка, за която се прилага Договорът.</w:t>
      </w:r>
    </w:p>
    <w:p w:rsidR="0053494A" w:rsidRPr="0053494A" w:rsidRDefault="0053494A" w:rsidP="00C1106C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</w:p>
    <w:p w:rsidR="00723E00" w:rsidRDefault="00723E00" w:rsidP="00C1106C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</w:p>
    <w:p w:rsidR="00BB7C3D" w:rsidRPr="0053494A" w:rsidRDefault="00BB7C3D" w:rsidP="00BB7C3D">
      <w:pPr>
        <w:spacing w:after="0" w:line="240" w:lineRule="auto"/>
        <w:ind w:firstLine="990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</w:p>
    <w:p w:rsidR="00F80CA8" w:rsidRPr="00F80CA8" w:rsidRDefault="00F80CA8" w:rsidP="00BB7C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tbl>
      <w:tblPr>
        <w:tblW w:w="890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76"/>
        <w:gridCol w:w="1928"/>
      </w:tblGrid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b/>
                <w:bCs/>
                <w:color w:val="333333"/>
                <w:szCs w:val="20"/>
                <w:lang w:eastAsia="bg-BG"/>
              </w:rPr>
              <w:t>Дейности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b/>
                <w:bCs/>
                <w:color w:val="333333"/>
                <w:szCs w:val="20"/>
                <w:lang w:eastAsia="bg-BG"/>
              </w:rPr>
              <w:t>Парникови газове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Изгаряне на горива в инсталации с обща номинална топлинна мощност, превишаваща 20 MW (с изключение на изгарянето в инсталации за изгаряне на опасни или твърди битови отпадъци)</w:t>
            </w:r>
          </w:p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Считано от 1 януари 2024 г., изгарянето на горива в инсталации за изгарянето на твърди битови отпадъци с обща номинална топлинна мощност, превишаваща 20 MW, за целите на членове 14 и 15.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Рафиниране на нефт с използването на горивни съоръжения с обща номинална топлинна мощност над 20 MW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Производство на кокс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Пържене и агломерация, включително гранулиране, на метална руда (включително сулфидна руда)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Производство на желязо или стомана (първично или вторично стапяне), включително непрекъснато леене, с капацитет над 2,5 тона на час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Производство или преработка на черни метали (включително феросплави) в случай на използване на горивни съоръжения с обща номинална топлинна мощност, превишаваща 20 MW. Преработката включва, </w:t>
            </w:r>
            <w:r w:rsidRPr="00BB7C3D">
              <w:rPr>
                <w:rFonts w:ascii="Times New Roman" w:eastAsia="Times New Roman" w:hAnsi="Times New Roman"/>
                <w:i/>
                <w:iCs/>
                <w:color w:val="333333"/>
                <w:szCs w:val="20"/>
                <w:lang w:eastAsia="bg-BG"/>
              </w:rPr>
              <w:t>inter alia</w:t>
            </w: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, прокатни станове, междинни подгреватели, пещи за отвръщане, ковашки цехове, леярни, цехове за нанасяне на покритие и байцване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Производство на първичен алуминий или диалуминиев триоксид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 и перфлуоровъглероди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Производство на вторичен алуминий при използването на горивни съоръжения с обща номинална топлинна мощност, превишаваща 20 MW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Производство или преработка на цветни метали, включително производство на сплави, рафиниране, леене и др., в случай на използване на горивни съоръжения с обща номинална топлинна мощност (включително горива, използвани като редуциращи агенти), превишаваща 20 MW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Производство на циментен клинкер в ротационни пещи с производствен капацитет над 500 тона дневно или в други пещи с производствен капацитет над 50 тона дневно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Производство на варовик или калциниране на доломит и магнезит в ротационни пещи за изпичане или в други пещи с производствен капацитет над 50 тона дневно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Производство на стъкло, включително стъклени влакна, с топилен капацитет над 20 тона дневно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Изработване на керамични продукти чрез изпичане, по-конкретно покривни керемиди, тухли, огнеупорни тухли, плочи, каменинови или порцеланови изделия, с производствен капацитет над 75 тона дневно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Производство на изолационни материали от минерална вата с използване на стъкло, камък или шлака, с капацитет на топене над 20 тона дневно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Сушене или изпичане на гипс или производство на гипсови панели или други продукти от гипс с производствен капацитет за калциниран гипс или изсушен вторичен гипс, надвишаващ общо 20 тона на ден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Производство на целулозен пулп от дървесина или сходни влакнести материали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Производство на хартия или картон с производствен капацитет над 20 тона дневно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Производство на сажди с карбонизиране на органични вещества като масла, катран, остатъци от крекинг и дестилация, с производствен капацитет над 50 тона на ден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Производство на азотна киселина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Въглероден диоксид </w:t>
            </w: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lastRenderedPageBreak/>
              <w:t>и азотен 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lastRenderedPageBreak/>
              <w:t>Производство на адипинова киселина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 и азотен 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Производство на глиоксалова и глиоксилова киселина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 и азотен 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Производство на амоняк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Производство на органични химически вещества в насипно или наливно състояние чрез крекинг, реформинг, частично или пълно окисляване или чрез подобни процеси, с производствен капацитет, превишаващ 100 тона дневно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Производство на водород (H</w:t>
            </w:r>
            <w:r w:rsidRPr="00BB7C3D">
              <w:rPr>
                <w:rFonts w:ascii="Times New Roman" w:eastAsia="Times New Roman" w:hAnsi="Times New Roman"/>
                <w:color w:val="333333"/>
                <w:szCs w:val="20"/>
                <w:vertAlign w:val="subscript"/>
                <w:lang w:eastAsia="bg-BG"/>
              </w:rPr>
              <w:t>2</w:t>
            </w: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) и синтетичен газ с производствен капацитет над 5 тона на ден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Производство на калцинирана сода (Na</w:t>
            </w:r>
            <w:r w:rsidRPr="00BB7C3D">
              <w:rPr>
                <w:rFonts w:ascii="Times New Roman" w:eastAsia="Times New Roman" w:hAnsi="Times New Roman"/>
                <w:color w:val="333333"/>
                <w:szCs w:val="20"/>
                <w:vertAlign w:val="subscript"/>
                <w:lang w:eastAsia="bg-BG"/>
              </w:rPr>
              <w:t>2</w:t>
            </w: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CO</w:t>
            </w:r>
            <w:r w:rsidRPr="00BB7C3D">
              <w:rPr>
                <w:rFonts w:ascii="Times New Roman" w:eastAsia="Times New Roman" w:hAnsi="Times New Roman"/>
                <w:color w:val="333333"/>
                <w:szCs w:val="20"/>
                <w:vertAlign w:val="subscript"/>
                <w:lang w:eastAsia="bg-BG"/>
              </w:rPr>
              <w:t>3</w:t>
            </w: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) и на натриев бикарбонат (NaHCO</w:t>
            </w:r>
            <w:r w:rsidRPr="00BB7C3D">
              <w:rPr>
                <w:rFonts w:ascii="Times New Roman" w:eastAsia="Times New Roman" w:hAnsi="Times New Roman"/>
                <w:color w:val="333333"/>
                <w:szCs w:val="20"/>
                <w:vertAlign w:val="subscript"/>
                <w:lang w:eastAsia="bg-BG"/>
              </w:rPr>
              <w:t>3</w:t>
            </w: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)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Улавяне на парникови газове от инсталации, попадащи в приложното поле на настоящата директива, с цел пренос и съхранение в геоложки формации на места за съхранение, за които е издадено разрешение за това в съответствие с Директива 2009/31/ЕО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Транспортиране на парникови газове за съхранение в геоложки формации в място за съхранение, получило разрешение съгласно Директива 2009/31/ЕО, с изключение на емисиите, обхванати от друга дейност съгласно настоящата директива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Съхранение на парникови газове в геоложки формации на места за съхранение, за които е издадено разрешение за това в съответствие с Директива 2009/31/ЕО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750A" w:rsidRDefault="00F80CA8" w:rsidP="00472103">
            <w:pPr>
              <w:spacing w:after="0" w:line="240" w:lineRule="auto"/>
              <w:jc w:val="both"/>
              <w:rPr>
                <w:color w:val="333333"/>
                <w:szCs w:val="20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Въздухоплаване  </w:t>
            </w: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br/>
            </w:r>
            <w:r w:rsidR="008A5036"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Полети, които заминават от или пристигат на летище, разположено на територията на държава-членка, за която се прилага Договорът.</w:t>
            </w:r>
            <w:r w:rsidR="008A5036" w:rsidRPr="008A5036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 </w:t>
            </w:r>
          </w:p>
          <w:p w:rsidR="002A750A" w:rsidRPr="00472103" w:rsidRDefault="008A5036" w:rsidP="00472103">
            <w:pPr>
              <w:spacing w:after="0" w:line="240" w:lineRule="auto"/>
              <w:jc w:val="both"/>
              <w:rPr>
                <w:color w:val="333333"/>
                <w:szCs w:val="20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Тази дейност не включва:</w:t>
            </w:r>
          </w:p>
          <w:p w:rsidR="008A5036" w:rsidRPr="008A5036" w:rsidRDefault="008A5036" w:rsidP="00472103">
            <w:pPr>
              <w:spacing w:after="0" w:line="240" w:lineRule="auto"/>
              <w:jc w:val="both"/>
              <w:rPr>
                <w:color w:val="333333"/>
                <w:szCs w:val="20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а)  полети, извършвани единствено за транспортиране по официален повод на управляващ монарх и най-близките му роднини, на държавни ръководители, правителствени ръководители и министри на държави, които не са държави-членки, когато това е подкрепено от съответното указание за характера на полета в летателния план;</w:t>
            </w:r>
          </w:p>
          <w:p w:rsidR="008A5036" w:rsidRPr="008A5036" w:rsidRDefault="008A5036" w:rsidP="00472103">
            <w:pPr>
              <w:spacing w:after="0" w:line="240" w:lineRule="auto"/>
              <w:jc w:val="both"/>
              <w:rPr>
                <w:color w:val="333333"/>
                <w:szCs w:val="20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б)  военни полети, извършвани от военни въздухоплавателни средства, и полети на митническите и полицейските служби;</w:t>
            </w:r>
          </w:p>
          <w:p w:rsidR="008A5036" w:rsidRPr="008A5036" w:rsidRDefault="008A5036" w:rsidP="00472103">
            <w:pPr>
              <w:spacing w:after="0" w:line="240" w:lineRule="auto"/>
              <w:jc w:val="both"/>
              <w:rPr>
                <w:color w:val="333333"/>
                <w:szCs w:val="20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в)  полети, свързани с издирвателни и спасителни операции, полети с противопожарна цел, хуманитарни полети и полети за оказване на спешна медицинска помощ, които са разрешени от съответния компетентен орган;</w:t>
            </w:r>
          </w:p>
          <w:p w:rsidR="008A5036" w:rsidRPr="008A5036" w:rsidRDefault="008A5036" w:rsidP="00472103">
            <w:pPr>
              <w:spacing w:after="0" w:line="240" w:lineRule="auto"/>
              <w:jc w:val="both"/>
              <w:rPr>
                <w:color w:val="333333"/>
                <w:szCs w:val="20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г)  всички полети, извършвани изключително по правилата за визуални полети, както са определени в приложение 2 към Чикагската конвенция;</w:t>
            </w:r>
          </w:p>
          <w:p w:rsidR="008A5036" w:rsidRPr="008A5036" w:rsidRDefault="008A5036" w:rsidP="00472103">
            <w:pPr>
              <w:spacing w:after="0" w:line="240" w:lineRule="auto"/>
              <w:jc w:val="both"/>
              <w:rPr>
                <w:color w:val="333333"/>
                <w:szCs w:val="20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д)  полети, завършващи на летището, от което е излетяло въздухоплавателното средство, и по време на които не са извършвани междинни кацания;</w:t>
            </w:r>
          </w:p>
          <w:p w:rsidR="008A5036" w:rsidRPr="008A5036" w:rsidRDefault="008A5036" w:rsidP="00472103">
            <w:pPr>
              <w:spacing w:after="0" w:line="240" w:lineRule="auto"/>
              <w:jc w:val="both"/>
              <w:rPr>
                <w:color w:val="333333"/>
                <w:szCs w:val="20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е)  тренировъчни полети, проведени изключително с цел получаване на свидетелство или на клас, когато става въпрос за летателен екипаж, когато това е подкрепено от съответната забележка в летателния план, при условие че полетът не служи за превоз на пътници и/или товари или за позициониране или превоз на въздухоплавателното средство;</w:t>
            </w:r>
          </w:p>
          <w:p w:rsidR="008A5036" w:rsidRPr="008A5036" w:rsidRDefault="008A5036" w:rsidP="00472103">
            <w:pPr>
              <w:spacing w:after="0" w:line="240" w:lineRule="auto"/>
              <w:jc w:val="both"/>
              <w:rPr>
                <w:color w:val="333333"/>
                <w:szCs w:val="20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ж)  полети, извършвани изключително с цел провеждане на научни изследвания или проверка, изпитване или издаване на свидетелство за въздухоплавателното средство или оборудване, независимо дали е предназначено за летене или за наземна работа;</w:t>
            </w:r>
          </w:p>
          <w:p w:rsidR="002A750A" w:rsidRPr="00472103" w:rsidRDefault="008A5036" w:rsidP="00472103">
            <w:pPr>
              <w:spacing w:after="0" w:line="240" w:lineRule="auto"/>
              <w:jc w:val="both"/>
              <w:rPr>
                <w:color w:val="333333"/>
                <w:szCs w:val="20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з)  полети, извършвани от въздухоплавателни средства с удостоверено максимално тегло при излитане, по-малко от 5 700  kg;</w:t>
            </w:r>
          </w:p>
          <w:p w:rsidR="008A5036" w:rsidRPr="008A5036" w:rsidRDefault="008A5036" w:rsidP="00472103">
            <w:pPr>
              <w:spacing w:after="0" w:line="240" w:lineRule="auto"/>
              <w:jc w:val="both"/>
              <w:rPr>
                <w:color w:val="333333"/>
                <w:szCs w:val="20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и)  полети, извършвани в рамките на задължения за предоставяне на обществени услуги, наложени в съответствие с Регламент (ЕИО) № 2408/92, по маршрути в най-отдалечените региони, определени в член 299, параграф 2 от Договора, или по маршрути, при които предложеният капацитет не надвишава</w:t>
            </w:r>
            <w:r w:rsidRPr="008A5036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 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50 000 </w:t>
            </w:r>
            <w:r w:rsidRPr="008A5036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 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на година;</w:t>
            </w:r>
          </w:p>
          <w:p w:rsidR="008A5036" w:rsidRPr="00472103" w:rsidRDefault="008A5036" w:rsidP="00472103">
            <w:pPr>
              <w:spacing w:after="0" w:line="240" w:lineRule="auto"/>
              <w:jc w:val="both"/>
              <w:rPr>
                <w:color w:val="333333"/>
                <w:szCs w:val="20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lastRenderedPageBreak/>
              <w:t>й)  полети, които, с изключение на посочените в настоящата буква, биха попаднали в тази дейност и които се извършват от оператори на търговски транспортни полети, които извършват или:</w:t>
            </w:r>
          </w:p>
          <w:p w:rsidR="008A5036" w:rsidRPr="00472103" w:rsidRDefault="008A5036" w:rsidP="00472103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Cs w:val="20"/>
              </w:rPr>
            </w:pP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— по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-</w:t>
            </w: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малко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 </w:t>
            </w: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от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 243 </w:t>
            </w: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полета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 </w:t>
            </w: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за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 </w:t>
            </w: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период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 </w:t>
            </w: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от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 </w:t>
            </w: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три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 </w:t>
            </w: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последователни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 </w:t>
            </w: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четиримесечия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, </w:t>
            </w: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или</w:t>
            </w:r>
          </w:p>
          <w:p w:rsidR="008A5036" w:rsidRDefault="008A5036" w:rsidP="008A50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— полети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 </w:t>
            </w: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с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 </w:t>
            </w: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общи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 </w:t>
            </w: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годишни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 </w:t>
            </w: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емисии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 </w:t>
            </w: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под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 10</w:t>
            </w: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 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000 </w:t>
            </w: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 тона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 </w:t>
            </w: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на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 xml:space="preserve"> </w:t>
            </w:r>
            <w:r w:rsidRPr="00472103">
              <w:rPr>
                <w:rFonts w:ascii="Times New Roman" w:eastAsia="Times New Roman" w:hAnsi="Times New Roman" w:hint="eastAsia"/>
                <w:color w:val="333333"/>
                <w:szCs w:val="20"/>
                <w:lang w:eastAsia="bg-BG"/>
              </w:rPr>
              <w:t>година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.</w:t>
            </w:r>
          </w:p>
          <w:p w:rsidR="002A750A" w:rsidRDefault="002A750A" w:rsidP="008A50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</w:p>
          <w:p w:rsidR="002A750A" w:rsidRDefault="008A5036" w:rsidP="008A50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Полетите, посочени в букви л) и м), или извършени изключително за превоз в рамките на официална мисия на управляващи монарси и най-близките им роднини; на държавни глави, правителствени ръководители и правителствени министри на държавите членки не могат да бъдат изключвани по тази буква; </w:t>
            </w:r>
          </w:p>
          <w:p w:rsidR="002A750A" w:rsidRDefault="002A750A" w:rsidP="008A50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</w:p>
          <w:p w:rsidR="008A5036" w:rsidRDefault="008A5036" w:rsidP="008A50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к)  от 1 януари 2013 г. до 31 декември 2030 г., полети, които с изключение на настоящата буква, биха попаднали в тази дейност, и осъществени от нетърговски оператор на въздухоплавателни средства, извършващ полети с общи годишни емисии под 1 000  тона годишно (включително емисии от полети, посочени в букви л) и м); </w:t>
            </w:r>
          </w:p>
          <w:p w:rsidR="008A5036" w:rsidRDefault="008A5036" w:rsidP="008A50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л)  полети от летища, разположени в Швейцария, до летища, разположени в ЕИП;  </w:t>
            </w: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br/>
              <w:t>м)  полети от летища, разположени в Обединеното кралство, до летища, разположени в ЕИП.</w:t>
            </w:r>
          </w:p>
          <w:p w:rsidR="002A750A" w:rsidRPr="008A5036" w:rsidRDefault="002A750A" w:rsidP="008A50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</w:p>
          <w:p w:rsidR="008A5036" w:rsidRPr="008A5036" w:rsidRDefault="008A5036" w:rsidP="008A50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Полети между летища, разположени в две различни държави, изброени в акта за изпълнение, приет съгласно член 25а, параграф 3, и полети между Швейцария или Обединеното кралство и държави, изброени в акта за изпълнение, приет съгласно член 25а, параграф 3, и за целите на член 12, параграфи 6 и 8 и член 28в — всеки друг полет между летища, разположени в две различни трети държави, от оператори на въздухоплавателни средства, които отговарят на всички посочени по-долу условия:</w:t>
            </w:r>
          </w:p>
          <w:p w:rsidR="008A5036" w:rsidRPr="008A5036" w:rsidRDefault="008A5036" w:rsidP="008A50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а)  операторите на въздухоплавателни средства притежават свидетелство за авиационен оператор, издадено от държава членка, или са регистрирани в държава членка, включително в най-отдалечените региони, зависимите територии и териториите на тази държава членка; и</w:t>
            </w:r>
          </w:p>
          <w:p w:rsidR="008A5036" w:rsidRPr="008A5036" w:rsidRDefault="008A5036" w:rsidP="008A50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б)  те произвеждат годишни емисии на CO2 над 10 000  тона от използването на самолети с максимална сертифицирана излетна маса, по-голяма от 5 700  kg, които изпълняват полети, попадащи в обхвата на настоящото приложение, различни от тези, които заминават от и пристигат в същата държава членка, включително най-отдалечените региони на същата държава членка, считано от 1 януари 2021 г.; за целите на настоящата точка не се вземат предвид емисиите от следните видове полети:</w:t>
            </w:r>
          </w:p>
          <w:p w:rsidR="008A5036" w:rsidRPr="008A5036" w:rsidRDefault="008A5036" w:rsidP="008A50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i)  държавни полети;</w:t>
            </w:r>
          </w:p>
          <w:p w:rsidR="008A5036" w:rsidRPr="008A5036" w:rsidRDefault="008A5036" w:rsidP="008A50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ii)  полети с хуманитарни цели;</w:t>
            </w:r>
          </w:p>
          <w:p w:rsidR="008A5036" w:rsidRPr="008A5036" w:rsidRDefault="008A5036" w:rsidP="008A50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iii)  полети за медицински цели;</w:t>
            </w:r>
          </w:p>
          <w:p w:rsidR="008A5036" w:rsidRPr="008A5036" w:rsidRDefault="008A50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iv)  военни полети;</w:t>
            </w:r>
          </w:p>
          <w:p w:rsidR="008A5036" w:rsidRPr="008A5036" w:rsidRDefault="008A50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v)  полети за гасене на пожари;</w:t>
            </w:r>
          </w:p>
          <w:p w:rsidR="00F80CA8" w:rsidRPr="00BB7C3D" w:rsidRDefault="008A50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472103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vi)  полети преди или след хуманитарен или медицински полет или полет за гасене на пожар, при условие че тези полети са извършени със същите въздухоплавателни средства и са били необходими за извършването на съответните хуманитарни, медицински или противопожарни дейности или за преместването на въздухоплавателното средство след тези дейности за следващата му дейност.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lastRenderedPageBreak/>
              <w:t>Въглероден диоксид</w:t>
            </w:r>
          </w:p>
        </w:tc>
      </w:tr>
      <w:tr w:rsidR="00F80CA8" w:rsidRPr="00BB7C3D" w:rsidTr="00C1106C">
        <w:tc>
          <w:tcPr>
            <w:tcW w:w="6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lastRenderedPageBreak/>
              <w:t>Морски транспорт</w:t>
            </w:r>
          </w:p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Дейности в областта на морския транспорт, попадащи в обхвата на Регламент (ЕС) 2015/757, с изключение на дейностите в областта на морския транспорт, попадащи в обхвата на член 2, параграф 1а, и до 31 декември 2026 г. — на член 2, параграф 1б от посочения регламент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Въглероден диоксид</w:t>
            </w:r>
          </w:p>
          <w:p w:rsidR="00F80CA8" w:rsidRPr="00BB7C3D" w:rsidRDefault="00F80CA8" w:rsidP="00BB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</w:pPr>
            <w:r w:rsidRPr="00BB7C3D">
              <w:rPr>
                <w:rFonts w:ascii="Times New Roman" w:eastAsia="Times New Roman" w:hAnsi="Times New Roman"/>
                <w:color w:val="333333"/>
                <w:szCs w:val="20"/>
                <w:lang w:eastAsia="bg-BG"/>
              </w:rPr>
              <w:t>Считано от 1 януари 2026 г., метан и диазотен оксид</w:t>
            </w:r>
          </w:p>
        </w:tc>
      </w:tr>
    </w:tbl>
    <w:p w:rsidR="003E5DFC" w:rsidRPr="00F80CA8" w:rsidRDefault="003E5DFC" w:rsidP="00BB7C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E5DFC" w:rsidRPr="00F80CA8" w:rsidSect="005349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ADD" w:rsidRDefault="00E03ADD" w:rsidP="00402ACA">
      <w:pPr>
        <w:spacing w:after="0" w:line="240" w:lineRule="auto"/>
      </w:pPr>
      <w:r>
        <w:separator/>
      </w:r>
    </w:p>
  </w:endnote>
  <w:endnote w:type="continuationSeparator" w:id="0">
    <w:p w:rsidR="00E03ADD" w:rsidRDefault="00E03ADD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43E" w:rsidRDefault="00CD14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1CB4" w:rsidRDefault="00057C17">
        <w:pPr>
          <w:pStyle w:val="Footer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AF4B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B1316" w:rsidRDefault="008B1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43E" w:rsidRDefault="00CD14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ADD" w:rsidRDefault="00E03ADD" w:rsidP="00402ACA">
      <w:pPr>
        <w:spacing w:after="0" w:line="240" w:lineRule="auto"/>
      </w:pPr>
      <w:r>
        <w:separator/>
      </w:r>
    </w:p>
  </w:footnote>
  <w:footnote w:type="continuationSeparator" w:id="0">
    <w:p w:rsidR="00E03ADD" w:rsidRDefault="00E03ADD" w:rsidP="00402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ACA" w:rsidRDefault="00522F04" w:rsidP="00522F04">
    <w:pPr>
      <w:pStyle w:val="Header"/>
      <w:tabs>
        <w:tab w:val="clear" w:pos="4536"/>
      </w:tabs>
    </w:pP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</w:t>
    </w: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CA"/>
    <w:rsid w:val="00011E4B"/>
    <w:rsid w:val="00052C76"/>
    <w:rsid w:val="00057C17"/>
    <w:rsid w:val="000A6D9B"/>
    <w:rsid w:val="000A7D1B"/>
    <w:rsid w:val="000B6072"/>
    <w:rsid w:val="000C72E1"/>
    <w:rsid w:val="000F4DE9"/>
    <w:rsid w:val="00112ACA"/>
    <w:rsid w:val="00146F68"/>
    <w:rsid w:val="001925A8"/>
    <w:rsid w:val="001A28C4"/>
    <w:rsid w:val="001C4400"/>
    <w:rsid w:val="002262CD"/>
    <w:rsid w:val="002665DE"/>
    <w:rsid w:val="002A750A"/>
    <w:rsid w:val="002B70A3"/>
    <w:rsid w:val="002D3045"/>
    <w:rsid w:val="002E65D8"/>
    <w:rsid w:val="002F2EFA"/>
    <w:rsid w:val="0033559F"/>
    <w:rsid w:val="0034268B"/>
    <w:rsid w:val="0035732F"/>
    <w:rsid w:val="00381B2D"/>
    <w:rsid w:val="00392C0D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E5DFC"/>
    <w:rsid w:val="003F11B3"/>
    <w:rsid w:val="003F127D"/>
    <w:rsid w:val="00402ACA"/>
    <w:rsid w:val="0040632C"/>
    <w:rsid w:val="0040728E"/>
    <w:rsid w:val="00410461"/>
    <w:rsid w:val="0042512A"/>
    <w:rsid w:val="0044329C"/>
    <w:rsid w:val="00454C6D"/>
    <w:rsid w:val="00456C38"/>
    <w:rsid w:val="004613D2"/>
    <w:rsid w:val="00472103"/>
    <w:rsid w:val="00487A24"/>
    <w:rsid w:val="00493BA5"/>
    <w:rsid w:val="004D78D8"/>
    <w:rsid w:val="00522F04"/>
    <w:rsid w:val="0053494A"/>
    <w:rsid w:val="00535F74"/>
    <w:rsid w:val="00541617"/>
    <w:rsid w:val="005501C6"/>
    <w:rsid w:val="005554EA"/>
    <w:rsid w:val="005A2D63"/>
    <w:rsid w:val="005C6AC1"/>
    <w:rsid w:val="005D7EF9"/>
    <w:rsid w:val="005F04C4"/>
    <w:rsid w:val="00622EF3"/>
    <w:rsid w:val="00645185"/>
    <w:rsid w:val="006564B8"/>
    <w:rsid w:val="0067156B"/>
    <w:rsid w:val="006811D9"/>
    <w:rsid w:val="00687EAD"/>
    <w:rsid w:val="00691015"/>
    <w:rsid w:val="006A15AA"/>
    <w:rsid w:val="006A535F"/>
    <w:rsid w:val="006A54F4"/>
    <w:rsid w:val="006A7414"/>
    <w:rsid w:val="006B4006"/>
    <w:rsid w:val="006B43D7"/>
    <w:rsid w:val="006C46DB"/>
    <w:rsid w:val="006E063B"/>
    <w:rsid w:val="006E64F4"/>
    <w:rsid w:val="00707B43"/>
    <w:rsid w:val="007159A1"/>
    <w:rsid w:val="0072000D"/>
    <w:rsid w:val="00723E00"/>
    <w:rsid w:val="007311CC"/>
    <w:rsid w:val="00734A59"/>
    <w:rsid w:val="0075278D"/>
    <w:rsid w:val="00763DB7"/>
    <w:rsid w:val="007757C0"/>
    <w:rsid w:val="00791E18"/>
    <w:rsid w:val="007A423B"/>
    <w:rsid w:val="007D3A3A"/>
    <w:rsid w:val="007F019E"/>
    <w:rsid w:val="008137F7"/>
    <w:rsid w:val="00816DDA"/>
    <w:rsid w:val="008652E5"/>
    <w:rsid w:val="008A2B53"/>
    <w:rsid w:val="008A5036"/>
    <w:rsid w:val="008B1316"/>
    <w:rsid w:val="008D4237"/>
    <w:rsid w:val="008D45CE"/>
    <w:rsid w:val="009622AE"/>
    <w:rsid w:val="00971248"/>
    <w:rsid w:val="0098334F"/>
    <w:rsid w:val="00984A52"/>
    <w:rsid w:val="00991CB4"/>
    <w:rsid w:val="0099667C"/>
    <w:rsid w:val="009A0149"/>
    <w:rsid w:val="009B2846"/>
    <w:rsid w:val="009C5EB8"/>
    <w:rsid w:val="009D4213"/>
    <w:rsid w:val="009D49EC"/>
    <w:rsid w:val="00A049DA"/>
    <w:rsid w:val="00A05ADF"/>
    <w:rsid w:val="00A233EA"/>
    <w:rsid w:val="00A2514B"/>
    <w:rsid w:val="00A25708"/>
    <w:rsid w:val="00A5465B"/>
    <w:rsid w:val="00A62A1B"/>
    <w:rsid w:val="00A721A0"/>
    <w:rsid w:val="00A77E88"/>
    <w:rsid w:val="00A81310"/>
    <w:rsid w:val="00A81893"/>
    <w:rsid w:val="00A82A33"/>
    <w:rsid w:val="00A94C80"/>
    <w:rsid w:val="00A95615"/>
    <w:rsid w:val="00AA22E0"/>
    <w:rsid w:val="00AB368B"/>
    <w:rsid w:val="00AD22F2"/>
    <w:rsid w:val="00AE7396"/>
    <w:rsid w:val="00AF4B34"/>
    <w:rsid w:val="00B02714"/>
    <w:rsid w:val="00B035FE"/>
    <w:rsid w:val="00B12845"/>
    <w:rsid w:val="00B16862"/>
    <w:rsid w:val="00B175A1"/>
    <w:rsid w:val="00B4545E"/>
    <w:rsid w:val="00B61BE9"/>
    <w:rsid w:val="00B74D95"/>
    <w:rsid w:val="00B9758F"/>
    <w:rsid w:val="00BA5767"/>
    <w:rsid w:val="00BB25A9"/>
    <w:rsid w:val="00BB7C3D"/>
    <w:rsid w:val="00BE46BF"/>
    <w:rsid w:val="00C1106C"/>
    <w:rsid w:val="00C13066"/>
    <w:rsid w:val="00C161DD"/>
    <w:rsid w:val="00C454F2"/>
    <w:rsid w:val="00C47C4D"/>
    <w:rsid w:val="00C5662F"/>
    <w:rsid w:val="00C62008"/>
    <w:rsid w:val="00C63107"/>
    <w:rsid w:val="00C7282F"/>
    <w:rsid w:val="00CA50C2"/>
    <w:rsid w:val="00CA7836"/>
    <w:rsid w:val="00CD143E"/>
    <w:rsid w:val="00CE4009"/>
    <w:rsid w:val="00CF6C86"/>
    <w:rsid w:val="00D43F14"/>
    <w:rsid w:val="00D551E4"/>
    <w:rsid w:val="00D9252F"/>
    <w:rsid w:val="00DB64CB"/>
    <w:rsid w:val="00DE6316"/>
    <w:rsid w:val="00E02F22"/>
    <w:rsid w:val="00E03ADD"/>
    <w:rsid w:val="00E066E6"/>
    <w:rsid w:val="00E12556"/>
    <w:rsid w:val="00E22914"/>
    <w:rsid w:val="00E44CEF"/>
    <w:rsid w:val="00E530D5"/>
    <w:rsid w:val="00E534F5"/>
    <w:rsid w:val="00E75E5B"/>
    <w:rsid w:val="00E80277"/>
    <w:rsid w:val="00E81D57"/>
    <w:rsid w:val="00E8373B"/>
    <w:rsid w:val="00E91B13"/>
    <w:rsid w:val="00E97B38"/>
    <w:rsid w:val="00EA0271"/>
    <w:rsid w:val="00EA40C7"/>
    <w:rsid w:val="00EB452B"/>
    <w:rsid w:val="00ED2342"/>
    <w:rsid w:val="00EF6A85"/>
    <w:rsid w:val="00F12A1D"/>
    <w:rsid w:val="00F150D2"/>
    <w:rsid w:val="00F34F47"/>
    <w:rsid w:val="00F3655F"/>
    <w:rsid w:val="00F4459A"/>
    <w:rsid w:val="00F531A1"/>
    <w:rsid w:val="00F53AD0"/>
    <w:rsid w:val="00F75BE4"/>
    <w:rsid w:val="00F80CA8"/>
    <w:rsid w:val="00FC0AF4"/>
    <w:rsid w:val="00FE6133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138970B-9713-4437-B471-EFB6F9D65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  <w:style w:type="paragraph" w:customStyle="1" w:styleId="tbl-norm">
    <w:name w:val="tbl-norm"/>
    <w:basedOn w:val="Normal"/>
    <w:rsid w:val="008A50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styleId="Hyperlink">
    <w:name w:val="Hyperlink"/>
    <w:basedOn w:val="DefaultParagraphFont"/>
    <w:uiPriority w:val="99"/>
    <w:semiHidden/>
    <w:unhideWhenUsed/>
    <w:rsid w:val="008A5036"/>
    <w:rPr>
      <w:color w:val="0000FF"/>
      <w:u w:val="single"/>
    </w:rPr>
  </w:style>
  <w:style w:type="character" w:customStyle="1" w:styleId="boldface">
    <w:name w:val="boldface"/>
    <w:basedOn w:val="DefaultParagraphFont"/>
    <w:rsid w:val="008A5036"/>
  </w:style>
  <w:style w:type="paragraph" w:customStyle="1" w:styleId="item-none">
    <w:name w:val="item-none"/>
    <w:basedOn w:val="Normal"/>
    <w:rsid w:val="008A50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subscript">
    <w:name w:val="subscript"/>
    <w:basedOn w:val="DefaultParagraphFont"/>
    <w:rsid w:val="008A5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849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50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851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471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69B75-82E8-4B34-8B19-29A3E606B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1835</Words>
  <Characters>10463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Administrator</cp:lastModifiedBy>
  <cp:revision>31</cp:revision>
  <dcterms:created xsi:type="dcterms:W3CDTF">2023-11-01T13:57:00Z</dcterms:created>
  <dcterms:modified xsi:type="dcterms:W3CDTF">2026-02-05T08:19:00Z</dcterms:modified>
</cp:coreProperties>
</file>